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AD18E0" w14:textId="77777777" w:rsidR="00B86BA2" w:rsidRPr="00B413F4" w:rsidRDefault="00B86BA2" w:rsidP="00B86B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COMUNICAZIONE</w:t>
      </w:r>
      <w:r w:rsidRPr="00B413F4">
        <w:rPr>
          <w:b/>
          <w:sz w:val="28"/>
          <w:szCs w:val="28"/>
        </w:rPr>
        <w:t xml:space="preserve"> “DE MINIMIS” DI COOPERATIVE SOCIALI ED ONLUS AI FINI DEL RICONOSCIMENTO DELL’ESENZIONE IM.I.S. – NOTE ESPLICATIVE.</w:t>
      </w:r>
    </w:p>
    <w:p w14:paraId="29527E3A" w14:textId="77777777" w:rsidR="00B86BA2" w:rsidRDefault="00B86BA2"/>
    <w:p w14:paraId="7CD168C4" w14:textId="77777777" w:rsidR="00B86BA2" w:rsidRDefault="00B86BA2"/>
    <w:p w14:paraId="3EF56D39" w14:textId="77777777" w:rsidR="00B86BA2" w:rsidRDefault="00B86BA2" w:rsidP="00B86BA2">
      <w:pPr>
        <w:jc w:val="both"/>
      </w:pPr>
      <w:r>
        <w:t xml:space="preserve">L’articolo 1 della L.P. n. 3/2024 (pubblicata sul Numero Straordinario n. 2 al B.U.R. n. 10 del </w:t>
      </w:r>
      <w:proofErr w:type="gramStart"/>
      <w:r>
        <w:t>1 marzo</w:t>
      </w:r>
      <w:proofErr w:type="gramEnd"/>
      <w:r>
        <w:t xml:space="preserve"> 2024) ha introdotto alcune modifiche all’ordinamento dell’IM.I.S., con immediata entrata in vigore ed applicazione all’intero periodo d’imposta 2024.</w:t>
      </w:r>
    </w:p>
    <w:p w14:paraId="74813602" w14:textId="77777777" w:rsidR="00B86BA2" w:rsidRDefault="00B86BA2" w:rsidP="00B86BA2">
      <w:pPr>
        <w:jc w:val="both"/>
      </w:pPr>
      <w:r>
        <w:t xml:space="preserve">In particolare: </w:t>
      </w:r>
    </w:p>
    <w:p w14:paraId="0D54442E" w14:textId="77777777" w:rsidR="00B86BA2" w:rsidRDefault="00B86BA2" w:rsidP="00B86BA2">
      <w:pPr>
        <w:jc w:val="both"/>
      </w:pPr>
      <w:r>
        <w:t xml:space="preserve">1. l’articolo 1, commi 1 e 3, ha esteso anche al periodo d’imposta 2024 l’esenzione IM.I.S. di cui all’articolo 14 commi 6ter e 6quater della L.P. n. 14/2014 in favore delle Cooperative Sociali e delle O.N.L.U.S. aventi natura commerciale; </w:t>
      </w:r>
    </w:p>
    <w:p w14:paraId="421FCA9F" w14:textId="77777777" w:rsidR="00B86BA2" w:rsidRDefault="00B86BA2" w:rsidP="00B86BA2">
      <w:pPr>
        <w:jc w:val="both"/>
      </w:pPr>
      <w:r>
        <w:t xml:space="preserve">2. la nuova formulazione normativa oltre a prevedere l’esenzione nel periodo d’imposta 2024 ha modificato (articolo 1 comma 2) un elemento costitutivo della fattispecie già in vigore fino al 2023. In specie, all’articolo 14 comma 6ter della L.P. n. 14/2014 il riferimento al Regolamento UE n. 1407/2014 è stato sostituito con il rinvio al Regolamento UE n. 2323/2831 del 13 dicembre 2023, che ha sostituito il precedente ed è entrato in vigore </w:t>
      </w:r>
      <w:proofErr w:type="gramStart"/>
      <w:r>
        <w:t>l’1 gennaio</w:t>
      </w:r>
      <w:proofErr w:type="gramEnd"/>
      <w:r>
        <w:t xml:space="preserve"> 2024; </w:t>
      </w:r>
    </w:p>
    <w:p w14:paraId="7FA7365C" w14:textId="77777777" w:rsidR="00B86BA2" w:rsidRDefault="00B86BA2" w:rsidP="00B86BA2">
      <w:pPr>
        <w:jc w:val="both"/>
      </w:pPr>
      <w:r>
        <w:t xml:space="preserve">3. in sostanza, l’elemento costitutivo della fattispecie </w:t>
      </w:r>
      <w:proofErr w:type="spellStart"/>
      <w:r>
        <w:t>esentiva</w:t>
      </w:r>
      <w:proofErr w:type="spellEnd"/>
      <w:r>
        <w:t xml:space="preserve"> relativo al vincolo del limite degli aiuti di Stato c.d. “de </w:t>
      </w:r>
      <w:proofErr w:type="spellStart"/>
      <w:r>
        <w:t>minimis</w:t>
      </w:r>
      <w:proofErr w:type="spellEnd"/>
      <w:r>
        <w:t xml:space="preserve">” risulta modificato, passando da € 200.000,00= nel triennio ad € 300.000,00= sempre su base triennale; </w:t>
      </w:r>
    </w:p>
    <w:p w14:paraId="4578650B" w14:textId="4CDD5BEF" w:rsidR="009A523A" w:rsidRDefault="00B86BA2" w:rsidP="00B86BA2">
      <w:pPr>
        <w:jc w:val="both"/>
      </w:pPr>
      <w:r>
        <w:t xml:space="preserve">4. in sede di presentazione annuale della dichiarazione di cui all’articolo 14 commi 6ter e 6quater della L.P. n. 14/2014, i contribuenti potranno tener conto del maggiore limite finanziario per il calcolo del rispetto del “de </w:t>
      </w:r>
      <w:proofErr w:type="spellStart"/>
      <w:r>
        <w:t>minimis</w:t>
      </w:r>
      <w:proofErr w:type="spellEnd"/>
      <w:r>
        <w:t xml:space="preserve">”. </w:t>
      </w:r>
    </w:p>
    <w:p w14:paraId="4B6E1103" w14:textId="77777777" w:rsidR="00B86BA2" w:rsidRDefault="00B86BA2" w:rsidP="00B86BA2">
      <w:pPr>
        <w:jc w:val="both"/>
      </w:pPr>
    </w:p>
    <w:p w14:paraId="0B9E46E6" w14:textId="77777777" w:rsidR="00B86BA2" w:rsidRDefault="00B86BA2" w:rsidP="00B86BA2">
      <w:pPr>
        <w:jc w:val="both"/>
      </w:pPr>
      <w:r>
        <w:t>Nello specifico dei due modelli, oltre alle istruzioni in essi previste, si precisa che:</w:t>
      </w:r>
    </w:p>
    <w:p w14:paraId="5212A58B" w14:textId="77777777" w:rsidR="00B86BA2" w:rsidRDefault="00B86BA2" w:rsidP="00B86BA2">
      <w:pPr>
        <w:jc w:val="both"/>
      </w:pPr>
    </w:p>
    <w:p w14:paraId="3065A3FB" w14:textId="77777777" w:rsidR="00B86BA2" w:rsidRDefault="00B86BA2" w:rsidP="00B86BA2">
      <w:pPr>
        <w:numPr>
          <w:ilvl w:val="0"/>
          <w:numId w:val="1"/>
        </w:numPr>
        <w:jc w:val="both"/>
      </w:pPr>
      <w:r>
        <w:t>le due opzioni della Sezione A sono fra di loro alternative;</w:t>
      </w:r>
    </w:p>
    <w:p w14:paraId="4650AFE5" w14:textId="77777777" w:rsidR="00B86BA2" w:rsidRDefault="00B86BA2" w:rsidP="00B86BA2">
      <w:pPr>
        <w:numPr>
          <w:ilvl w:val="0"/>
          <w:numId w:val="1"/>
        </w:numPr>
        <w:jc w:val="both"/>
      </w:pPr>
      <w:r>
        <w:t>le quattro opzioni della Sezione B sono fra di loro alternative;</w:t>
      </w:r>
    </w:p>
    <w:p w14:paraId="2078CA9F" w14:textId="77777777" w:rsidR="00B86BA2" w:rsidRDefault="00B86BA2" w:rsidP="00B86BA2">
      <w:pPr>
        <w:numPr>
          <w:ilvl w:val="0"/>
          <w:numId w:val="1"/>
        </w:numPr>
        <w:jc w:val="both"/>
      </w:pPr>
      <w:r>
        <w:t>nella Sezione C, la prima opzione è SEMPRE obbligatoria, mentre le successive due sono fra di loro alternative;</w:t>
      </w:r>
    </w:p>
    <w:p w14:paraId="5501F4DA" w14:textId="77777777" w:rsidR="00B86BA2" w:rsidRDefault="00B86BA2" w:rsidP="00B86BA2">
      <w:pPr>
        <w:numPr>
          <w:ilvl w:val="0"/>
          <w:numId w:val="1"/>
        </w:numPr>
        <w:jc w:val="both"/>
      </w:pPr>
      <w:r>
        <w:t xml:space="preserve">le due opzioni della Sezione D sono entrambe obbligatorie. </w:t>
      </w:r>
      <w:proofErr w:type="gramStart"/>
      <w:r>
        <w:t>E’</w:t>
      </w:r>
      <w:proofErr w:type="gramEnd"/>
      <w:r>
        <w:t xml:space="preserve"> altresì obbligatorio per il contribuente allegare una scheda con l’identificazione esatta degli immobili oggetto di potenziale esenzione, come indicato per rinvio nella stessa Sezione D;</w:t>
      </w:r>
    </w:p>
    <w:p w14:paraId="12D8360D" w14:textId="77777777" w:rsidR="00B86BA2" w:rsidRDefault="00B86BA2" w:rsidP="00B86BA2">
      <w:pPr>
        <w:jc w:val="both"/>
      </w:pPr>
    </w:p>
    <w:sectPr w:rsidR="00B86B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3C602A"/>
    <w:multiLevelType w:val="hybridMultilevel"/>
    <w:tmpl w:val="A67C5CD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2538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BA2"/>
    <w:rsid w:val="009A523A"/>
    <w:rsid w:val="00B8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6F593"/>
  <w15:chartTrackingRefBased/>
  <w15:docId w15:val="{F27F71FC-D28B-48A8-B633-5550AFA9C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86BA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322</Words>
  <Characters>1840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Baldo Cristina</dc:creator>
  <cp:keywords/>
  <dc:description/>
  <cp:lastModifiedBy>Baldo Cristina</cp:lastModifiedBy>
  <cp:revision>1</cp:revision>
  <dcterms:created xsi:type="dcterms:W3CDTF">2024-04-29T07:39:00Z</dcterms:created>
  <dcterms:modified xsi:type="dcterms:W3CDTF">2024-04-29T07:43:00Z</dcterms:modified>
</cp:coreProperties>
</file>